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光蚀纪-sop-31-绿色产品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SOP-31 · </w:t>
      </w:r>
      <w:r>
        <w:rPr>
          <w:rFonts w:hint="eastAsia"/>
        </w:rPr>
        <w:t xml:space="preserve">绿色产品管理程序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LITHERA-SOP-31-V2-20260429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Robert（CTO）+</w:t>
            </w:r>
            <w:r>
              <w:t xml:space="preserve"> 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§5.1 </w:t>
            </w:r>
            <w:r>
              <w:rPr>
                <w:rFonts w:hint="eastAsia"/>
              </w:rPr>
              <w:t xml:space="preserve">领导承诺（绿色产品责任）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§5.1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QEP-32-A </w:t>
            </w:r>
            <w:r>
              <w:rPr>
                <w:rFonts w:hint="eastAsia"/>
              </w:rPr>
              <w:t xml:space="preserve">绿色产品管理程序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所有交易之化学品（生命周期）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</w:t>
            </w:r>
            <w:r>
              <w:t xml:space="preserve"> ROHS / REACH / </w:t>
            </w:r>
            <w:r>
              <w:rPr>
                <w:rFonts w:hint="eastAsia"/>
              </w:rPr>
              <w:t xml:space="preserve">法规前瞻（DMPA</w:t>
            </w:r>
            <w:r>
              <w:t xml:space="preserve"> </w:t>
            </w:r>
            <w:r>
              <w:rPr>
                <w:rFonts w:hint="eastAsia"/>
              </w:rPr>
              <w:t xml:space="preserve">替代</w:t>
            </w:r>
            <w:r>
              <w:t xml:space="preserve"> </w:t>
            </w:r>
            <w:r>
              <w:rPr>
                <w:rFonts w:hint="eastAsia"/>
              </w:rPr>
              <w:t xml:space="preserve">NMP）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本程序规范本公司化学品</w:t>
      </w:r>
      <w:r>
        <w:rPr>
          <w:rFonts w:hint="eastAsia"/>
          <w:b/>
          <w:bCs/>
        </w:rPr>
        <w:t xml:space="preserve">生命周期全程绿色管理</w:t>
      </w:r>
      <w:r>
        <w:rPr>
          <w:rFonts w:hint="eastAsia"/>
        </w:rPr>
        <w:t xml:space="preserve">（采购</w:t>
      </w:r>
      <w:r>
        <w:t xml:space="preserve"> → </w:t>
      </w:r>
      <w:r>
        <w:rPr>
          <w:rFonts w:hint="eastAsia"/>
        </w:rPr>
        <w:t xml:space="preserve">仓储</w:t>
      </w:r>
      <w:r>
        <w:t xml:space="preserve"> → </w:t>
      </w:r>
      <w:r>
        <w:rPr>
          <w:rFonts w:hint="eastAsia"/>
        </w:rPr>
        <w:t xml:space="preserve">运输</w:t>
      </w:r>
      <w:r>
        <w:t xml:space="preserve"> → </w:t>
      </w:r>
      <w:r>
        <w:rPr>
          <w:rFonts w:hint="eastAsia"/>
        </w:rPr>
        <w:t xml:space="preserve">客户使用</w:t>
      </w:r>
      <w:r>
        <w:t xml:space="preserve"> → </w:t>
      </w:r>
      <w:r>
        <w:rPr>
          <w:rFonts w:hint="eastAsia"/>
        </w:rPr>
        <w:t xml:space="preserve">废弃），符合：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欧盟</w:t>
      </w:r>
      <w:r>
        <w:rPr>
          <w:b/>
          <w:bCs/>
        </w:rPr>
        <w:t xml:space="preserve"> RoHS</w:t>
      </w:r>
      <w:r>
        <w:rPr>
          <w:rFonts w:hint="eastAsia"/>
        </w:rPr>
        <w:t xml:space="preserve">（限用</w:t>
      </w:r>
      <w:r>
        <w:t xml:space="preserve"> 6 </w:t>
      </w:r>
      <w:r>
        <w:rPr>
          <w:rFonts w:hint="eastAsia"/>
        </w:rPr>
        <w:t xml:space="preserve">大有害物质）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欧盟</w:t>
      </w:r>
      <w:r>
        <w:rPr>
          <w:b/>
          <w:bCs/>
        </w:rPr>
        <w:t xml:space="preserve"> REACH</w:t>
      </w:r>
      <w:r>
        <w:rPr>
          <w:rFonts w:hint="eastAsia"/>
        </w:rPr>
        <w:t xml:space="preserve">（化学品注册评估授权与限制）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客户绿色采购要求</w:t>
      </w:r>
      <w:r>
        <w:rPr>
          <w:rFonts w:hint="eastAsia"/>
        </w:rPr>
        <w:t xml:space="preserve">（如赛德</w:t>
      </w:r>
      <w:r>
        <w:t xml:space="preserve"> / </w:t>
      </w:r>
      <w:r>
        <w:rPr>
          <w:rFonts w:hint="eastAsia"/>
        </w:rPr>
        <w:t xml:space="preserve">恒煦客户绿色清单）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行业自律</w:t>
      </w:r>
      <w:r>
        <w:rPr>
          <w:rFonts w:hint="eastAsia"/>
        </w:rPr>
        <w:t xml:space="preserve">（半导体协会绿色规范）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法规前瞻</w:t>
      </w:r>
      <w:r>
        <w:rPr>
          <w:rFonts w:hint="eastAsia"/>
        </w:rPr>
        <w:t xml:space="preserve">（DMPA</w:t>
      </w:r>
      <w:r>
        <w:t xml:space="preserve"> </w:t>
      </w:r>
      <w:r>
        <w:rPr>
          <w:rFonts w:hint="eastAsia"/>
        </w:rPr>
        <w:t xml:space="preserve">替代</w:t>
      </w:r>
      <w:r>
        <w:t xml:space="preserve"> NMP —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条方法论实证）</w:t>
      </w:r>
    </w:p>
    <w:p>
      <w:pPr>
        <w:pStyle w:val="FirstParagraph"/>
      </w:pPr>
      <w:r>
        <w:rPr>
          <w:rFonts w:hint="eastAsia"/>
        </w:rPr>
        <w:t xml:space="preserve">业内痛点：化工贸易商多为「等法规改了才被迫调整」。Lithera</w:t>
      </w:r>
      <w:r>
        <w:t xml:space="preserve"> </w:t>
      </w:r>
      <w:r>
        <w:rPr>
          <w:rFonts w:hint="eastAsia"/>
        </w:rPr>
        <w:t xml:space="preserve">透过</w:t>
      </w:r>
      <w:r>
        <w:t xml:space="preserve"> ① </w:t>
      </w:r>
      <w:r>
        <w:rPr>
          <w:rFonts w:hint="eastAsia"/>
        </w:rPr>
        <w:t xml:space="preserve">法规前瞻</w:t>
      </w:r>
      <w:r>
        <w:t xml:space="preserve"> ② </w:t>
      </w:r>
      <w:r>
        <w:rPr>
          <w:rFonts w:hint="eastAsia"/>
        </w:rPr>
        <w:t xml:space="preserve">与</w:t>
      </w:r>
      <w:r>
        <w:t xml:space="preserve"> A </w:t>
      </w:r>
      <w:r>
        <w:rPr>
          <w:rFonts w:hint="eastAsia"/>
        </w:rPr>
        <w:t xml:space="preserve">级供应商共同开发替代品</w:t>
      </w:r>
      <w:r>
        <w:t xml:space="preserve"> ③ </w:t>
      </w:r>
      <w:r>
        <w:rPr>
          <w:rFonts w:hint="eastAsia"/>
        </w:rPr>
        <w:t xml:space="preserve">绿色客户清单管理，</w:t>
      </w:r>
      <w:r>
        <w:rPr>
          <w:rFonts w:hint="eastAsia"/>
          <w:b/>
          <w:bCs/>
        </w:rPr>
        <w:t xml:space="preserve">主动搶占监管转换窗口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涵盖：所有</w:t>
      </w:r>
      <w:r>
        <w:t xml:space="preserve"> Lithera </w:t>
      </w:r>
      <w:r>
        <w:rPr>
          <w:rFonts w:hint="eastAsia"/>
        </w:rPr>
        <w:t xml:space="preserve">交易之化学品。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RoHS</w:t>
            </w:r>
          </w:p>
        </w:tc>
        <w:tc>
          <w:tcPr/>
          <w:p>
            <w:pPr>
              <w:pStyle w:val="Compact"/>
            </w:pPr>
            <w:r>
              <w:t xml:space="preserve">Restriction of Hazardous Substances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欧盟限用</w:t>
            </w:r>
            <w:r>
              <w:t xml:space="preserve"> 6 </w:t>
            </w:r>
            <w:r>
              <w:rPr>
                <w:rFonts w:hint="eastAsia"/>
              </w:rPr>
              <w:t xml:space="preserve">大有害物质（Pb</w:t>
            </w:r>
            <w:r>
              <w:t xml:space="preserve"> / Hg / Cd / Cr6+ / PBB / </w:t>
            </w:r>
            <w:r>
              <w:rPr>
                <w:rFonts w:hint="eastAsia"/>
              </w:rPr>
              <w:t xml:space="preserve">PBDE）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REACH</w:t>
            </w:r>
          </w:p>
        </w:tc>
        <w:tc>
          <w:tcPr/>
          <w:p>
            <w:pPr>
              <w:pStyle w:val="Compact"/>
            </w:pPr>
            <w:r>
              <w:t xml:space="preserve">Registration, Evaluation, Authorisation and Restriction of Chemicals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欧盟化学品注册评估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SVHC</w:t>
            </w:r>
          </w:p>
        </w:tc>
        <w:tc>
          <w:tcPr/>
          <w:p>
            <w:pPr>
              <w:pStyle w:val="Compact"/>
            </w:pPr>
            <w:r>
              <w:t xml:space="preserve">Substances of Very High Concern</w:t>
            </w:r>
          </w:p>
        </w:tc>
        <w:tc>
          <w:tcPr/>
          <w:p>
            <w:pPr>
              <w:pStyle w:val="Compact"/>
            </w:pPr>
            <w:r>
              <w:t xml:space="preserve">REACH </w:t>
            </w:r>
            <w:r>
              <w:rPr>
                <w:rFonts w:hint="eastAsia"/>
              </w:rPr>
              <w:t xml:space="preserve">高度关注物质清单（每年更新）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绿色采购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客户对供应商之环保要求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法规前瞻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识别即将变更之法规</w:t>
            </w:r>
            <w:r>
              <w:t xml:space="preserve"> + </w:t>
            </w:r>
            <w:r>
              <w:rPr>
                <w:rFonts w:hint="eastAsia"/>
              </w:rPr>
              <w:t xml:space="preserve">提前备替代方案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ESG</w:t>
            </w:r>
          </w:p>
        </w:tc>
        <w:tc>
          <w:tcPr/>
          <w:p>
            <w:pPr>
              <w:pStyle w:val="Compact"/>
            </w:pPr>
            <w:r>
              <w:t xml:space="preserve">Environment / Social / Governance — </w:t>
            </w:r>
            <w:r>
              <w:rPr>
                <w:rFonts w:hint="eastAsia"/>
              </w:rPr>
              <w:t xml:space="preserve">投资人关注之非财务指标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绿色规格识别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供应商绿色评估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客户绿色要求满足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法规前瞻监控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替代品开发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绿色文件管理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7" w:name="绿色规格识别"/>
    <w:p>
      <w:pPr>
        <w:pStyle w:val="Heading2"/>
      </w:pPr>
      <w:r>
        <w:t xml:space="preserve">5. </w:t>
      </w:r>
      <w:r>
        <w:rPr>
          <w:rFonts w:hint="eastAsia"/>
        </w:rPr>
        <w:t xml:space="preserve">绿色规格识别</w:t>
      </w:r>
    </w:p>
    <w:bookmarkStart w:id="14" w:name="客户绿色采购清单"/>
    <w:p>
      <w:pPr>
        <w:pStyle w:val="Heading3"/>
      </w:pPr>
      <w:r>
        <w:t xml:space="preserve">5.1 </w:t>
      </w:r>
      <w:r>
        <w:rPr>
          <w:rFonts w:hint="eastAsia"/>
        </w:rPr>
        <w:t xml:space="preserve">客户绿色采购清单</w:t>
      </w:r>
    </w:p>
    <w:p>
      <w:pPr>
        <w:pStyle w:val="FirstParagraph"/>
      </w:pPr>
      <w:r>
        <w:rPr>
          <w:rFonts w:hint="eastAsia"/>
        </w:rPr>
        <w:t xml:space="preserve">每客户合约附件之绿色要求纳入本公司物料规格：</w:t>
      </w:r>
      <w:r>
        <w:t xml:space="preserve"> </w:t>
      </w:r>
      <w:r>
        <w:t xml:space="preserve">- </w:t>
      </w:r>
      <w:r>
        <w:rPr>
          <w:rFonts w:hint="eastAsia"/>
        </w:rPr>
        <w:t xml:space="preserve">赛德（半导体级，metal</w:t>
      </w:r>
      <w:r>
        <w:t xml:space="preserve"> trace ≤ </w:t>
      </w:r>
      <w:r>
        <w:rPr>
          <w:rFonts w:hint="eastAsia"/>
        </w:rPr>
        <w:t xml:space="preserve">ppm）</w:t>
      </w:r>
      <w:r>
        <w:t xml:space="preserve"> </w:t>
      </w:r>
      <w:r>
        <w:t xml:space="preserve">- </w:t>
      </w:r>
      <w:r>
        <w:rPr>
          <w:rFonts w:hint="eastAsia"/>
        </w:rPr>
        <w:t xml:space="preserve">恒煦（光刻膠</w:t>
      </w:r>
      <w:r>
        <w:t xml:space="preserve"> RoHS </w:t>
      </w:r>
      <w:r>
        <w:rPr>
          <w:rFonts w:hint="eastAsia"/>
        </w:rPr>
        <w:t xml:space="preserve">符合）</w:t>
      </w:r>
      <w:r>
        <w:t xml:space="preserve"> </w:t>
      </w:r>
      <w:r>
        <w:t xml:space="preserve">- </w:t>
      </w:r>
      <w:r>
        <w:rPr>
          <w:rFonts w:hint="eastAsia"/>
        </w:rPr>
        <w:t xml:space="preserve">呈显（光刻膠环保溶剂）</w:t>
      </w:r>
      <w:r>
        <w:t xml:space="preserve"> </w:t>
      </w:r>
      <w:r>
        <w:t xml:space="preserve">- </w:t>
      </w:r>
      <w:r>
        <w:rPr>
          <w:rFonts w:hint="eastAsia"/>
        </w:rPr>
        <w:t xml:space="preserve">出口欧盟（REACH</w:t>
      </w:r>
      <w:r>
        <w:t xml:space="preserve"> </w:t>
      </w:r>
      <w:r>
        <w:rPr>
          <w:rFonts w:hint="eastAsia"/>
        </w:rPr>
        <w:t xml:space="preserve">符合）</w:t>
      </w:r>
      <w:r>
        <w:t xml:space="preserve"> </w:t>
      </w:r>
      <w:r>
        <w:t xml:space="preserve">- </w:t>
      </w:r>
      <w:r>
        <w:rPr>
          <w:rFonts w:hint="eastAsia"/>
        </w:rPr>
        <w:t xml:space="preserve">出口美国（TSCA</w:t>
      </w:r>
      <w:r>
        <w:t xml:space="preserve"> </w:t>
      </w:r>
      <w:r>
        <w:rPr>
          <w:rFonts w:hint="eastAsia"/>
        </w:rPr>
        <w:t xml:space="preserve">符合）</w:t>
      </w:r>
    </w:p>
    <w:bookmarkEnd w:id="14"/>
    <w:bookmarkStart w:id="15" w:name="rohs-6-大限用物质"/>
    <w:p>
      <w:pPr>
        <w:pStyle w:val="Heading3"/>
      </w:pPr>
      <w:r>
        <w:t xml:space="preserve">5.2 RoHS 6 </w:t>
      </w:r>
      <w:r>
        <w:rPr>
          <w:rFonts w:hint="eastAsia"/>
        </w:rPr>
        <w:t xml:space="preserve">大限用物质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浓度限制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铅</w:t>
            </w:r>
            <w:r>
              <w:t xml:space="preserve"> Pb</w:t>
            </w:r>
          </w:p>
        </w:tc>
        <w:tc>
          <w:tcPr/>
          <w:p>
            <w:pPr>
              <w:pStyle w:val="Compact"/>
            </w:pPr>
            <w:r>
              <w:t xml:space="preserve">&lt; 0.1%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汞</w:t>
            </w:r>
            <w:r>
              <w:t xml:space="preserve"> Hg</w:t>
            </w:r>
          </w:p>
        </w:tc>
        <w:tc>
          <w:tcPr/>
          <w:p>
            <w:pPr>
              <w:pStyle w:val="Compact"/>
            </w:pPr>
            <w:r>
              <w:t xml:space="preserve">&lt; 0.1%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镉</w:t>
            </w:r>
            <w:r>
              <w:t xml:space="preserve"> Cd</w:t>
            </w:r>
          </w:p>
        </w:tc>
        <w:tc>
          <w:tcPr/>
          <w:p>
            <w:pPr>
              <w:pStyle w:val="Compact"/>
            </w:pPr>
            <w:r>
              <w:t xml:space="preserve">&lt; 0.01%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六价铬</w:t>
            </w:r>
            <w:r>
              <w:t xml:space="preserve"> Cr6+</w:t>
            </w:r>
          </w:p>
        </w:tc>
        <w:tc>
          <w:tcPr/>
          <w:p>
            <w:pPr>
              <w:pStyle w:val="Compact"/>
            </w:pPr>
            <w:r>
              <w:t xml:space="preserve">&lt; 0.1%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全产品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多溴联苯</w:t>
            </w:r>
            <w:r>
              <w:t xml:space="preserve"> PBB</w:t>
            </w:r>
          </w:p>
        </w:tc>
        <w:tc>
          <w:tcPr/>
          <w:p>
            <w:pPr>
              <w:pStyle w:val="Compact"/>
            </w:pPr>
            <w:r>
              <w:t xml:space="preserve">&lt; 0.1%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含塑料件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多溴二苯醚</w:t>
            </w:r>
            <w:r>
              <w:t xml:space="preserve"> PBDE</w:t>
            </w:r>
          </w:p>
        </w:tc>
        <w:tc>
          <w:tcPr/>
          <w:p>
            <w:pPr>
              <w:pStyle w:val="Compact"/>
            </w:pPr>
            <w:r>
              <w:t xml:space="preserve">&lt; 0.1%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含塑料件</w:t>
            </w:r>
          </w:p>
        </w:tc>
      </w:tr>
    </w:tbl>
    <w:bookmarkEnd w:id="15"/>
    <w:bookmarkStart w:id="16" w:name="reach-svhc每年更新"/>
    <w:p>
      <w:pPr>
        <w:pStyle w:val="Heading3"/>
      </w:pPr>
      <w:r>
        <w:t xml:space="preserve">5.3 REACH </w:t>
      </w:r>
      <w:r>
        <w:rPr>
          <w:rFonts w:hint="eastAsia"/>
        </w:rPr>
        <w:t xml:space="preserve">SVHC（每年更新）</w:t>
      </w:r>
    </w:p>
    <w:p>
      <w:pPr>
        <w:pStyle w:val="FirstParagraph"/>
      </w:pPr>
      <w:r>
        <w:rPr>
          <w:rFonts w:hint="eastAsia"/>
        </w:rPr>
        <w:t xml:space="preserve">最新</w:t>
      </w:r>
      <w:r>
        <w:t xml:space="preserve"> SVHC </w:t>
      </w:r>
      <w:r>
        <w:rPr>
          <w:rFonts w:hint="eastAsia"/>
        </w:rPr>
        <w:t xml:space="preserve">清单</w:t>
      </w:r>
      <w:r>
        <w:t xml:space="preserve"> → AI Compliance Advisor </w:t>
      </w:r>
      <w:r>
        <w:rPr>
          <w:rFonts w:hint="eastAsia"/>
        </w:rPr>
        <w:t xml:space="preserve">实时监控</w:t>
      </w:r>
      <w:r>
        <w:t xml:space="preserve"> → </w:t>
      </w:r>
      <w:r>
        <w:rPr>
          <w:rFonts w:hint="eastAsia"/>
        </w:rPr>
        <w:t xml:space="preserve">比对本公司物料</w:t>
      </w:r>
      <w:r>
        <w:t xml:space="preserve"> → </w:t>
      </w:r>
      <w:r>
        <w:rPr>
          <w:rFonts w:hint="eastAsia"/>
        </w:rPr>
        <w:t xml:space="preserve">识别风险。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供应商绿色评估"/>
    <w:p>
      <w:pPr>
        <w:pStyle w:val="Heading2"/>
      </w:pPr>
      <w:r>
        <w:t xml:space="preserve">6. </w:t>
      </w:r>
      <w:r>
        <w:rPr>
          <w:rFonts w:hint="eastAsia"/>
        </w:rPr>
        <w:t xml:space="preserve">供应商绿色评估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SOP-09 §7.2.5 </w:t>
      </w:r>
      <w:r>
        <w:rPr>
          <w:rFonts w:hint="eastAsia"/>
        </w:rPr>
        <w:t xml:space="preserve">合规维度：</w:t>
      </w:r>
      <w:r>
        <w:t xml:space="preserve"> </w:t>
      </w:r>
      <w:r>
        <w:t xml:space="preserve">- </w:t>
      </w:r>
      <w:r>
        <w:rPr>
          <w:rFonts w:hint="eastAsia"/>
        </w:rPr>
        <w:t xml:space="preserve">供应商持</w:t>
      </w:r>
      <w:r>
        <w:t xml:space="preserve"> RoHS / REACH </w:t>
      </w:r>
      <w:r>
        <w:rPr>
          <w:rFonts w:hint="eastAsia"/>
        </w:rPr>
        <w:t xml:space="preserve">符合声明</w:t>
      </w:r>
      <w:r>
        <w:t xml:space="preserve"> </w:t>
      </w:r>
      <w:r>
        <w:t xml:space="preserve">- </w:t>
      </w:r>
      <w:r>
        <w:rPr>
          <w:rFonts w:hint="eastAsia"/>
        </w:rPr>
        <w:t xml:space="preserve">季度评分纳入「绿色合规」</w:t>
      </w:r>
      <w:r>
        <w:t xml:space="preserve"> </w:t>
      </w:r>
      <w:r>
        <w:t xml:space="preserve">- </w:t>
      </w:r>
      <w:r>
        <w:rPr>
          <w:rFonts w:hint="eastAsia"/>
        </w:rPr>
        <w:t xml:space="preserve">不合格</w:t>
      </w:r>
      <w:r>
        <w:t xml:space="preserve"> → </w:t>
      </w:r>
      <w:r>
        <w:rPr>
          <w:rFonts w:hint="eastAsia"/>
        </w:rPr>
        <w:t xml:space="preserve">黑名单</w:t>
      </w:r>
    </w:p>
    <w:p>
      <w:r>
        <w:pict>
          <v:rect style="width:0;height:1.5pt" o:hralign="center" o:hrstd="t" o:hr="t"/>
        </w:pict>
      </w:r>
    </w:p>
    <w:bookmarkEnd w:id="18"/>
    <w:bookmarkStart w:id="23" w:name="法规前瞻核心-dmpa-替代-nmp-案例"/>
    <w:p>
      <w:pPr>
        <w:pStyle w:val="Heading2"/>
      </w:pPr>
      <w:r>
        <w:t xml:space="preserve">7. </w:t>
      </w:r>
      <w:r>
        <w:rPr>
          <w:rFonts w:hint="eastAsia"/>
        </w:rPr>
        <w:t xml:space="preserve">法规前瞻（核心</w:t>
      </w:r>
      <w:r>
        <w:t xml:space="preserve"> — DMPA </w:t>
      </w:r>
      <w:r>
        <w:rPr>
          <w:rFonts w:hint="eastAsia"/>
        </w:rPr>
        <w:t xml:space="preserve">替代</w:t>
      </w:r>
      <w:r>
        <w:t xml:space="preserve"> NMP </w:t>
      </w:r>
      <w:r>
        <w:rPr>
          <w:rFonts w:hint="eastAsia"/>
        </w:rPr>
        <w:t xml:space="preserve">案例）</w:t>
      </w:r>
    </w:p>
    <w:bookmarkStart w:id="19" w:name="业界痛点"/>
    <w:p>
      <w:pPr>
        <w:pStyle w:val="Heading3"/>
      </w:pPr>
      <w:r>
        <w:t xml:space="preserve">7.1 </w:t>
      </w:r>
      <w:r>
        <w:rPr>
          <w:rFonts w:hint="eastAsia"/>
        </w:rPr>
        <w:t xml:space="preserve">业界痛点</w:t>
      </w:r>
    </w:p>
    <w:p>
      <w:pPr>
        <w:pStyle w:val="FirstParagraph"/>
      </w:pPr>
      <w:r>
        <w:rPr>
          <w:rFonts w:hint="eastAsia"/>
        </w:rPr>
        <w:t xml:space="preserve">NMP（CAS</w:t>
      </w:r>
      <w:r>
        <w:t xml:space="preserve"> </w:t>
      </w:r>
      <w:r>
        <w:rPr>
          <w:rFonts w:hint="eastAsia"/>
        </w:rPr>
        <w:t xml:space="preserve">872-50-4）：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欧盟</w:t>
      </w:r>
      <w:r>
        <w:t xml:space="preserve"> REACH </w:t>
      </w:r>
      <w:r>
        <w:rPr>
          <w:rFonts w:hint="eastAsia"/>
        </w:rPr>
        <w:t xml:space="preserve">已限制（皮肤致畸毒性</w:t>
      </w:r>
      <w:r>
        <w:t xml:space="preserve"> Cat 1B </w:t>
      </w:r>
      <w:r>
        <w:rPr>
          <w:rFonts w:hint="eastAsia"/>
        </w:rPr>
        <w:t xml:space="preserve">生殖毒性）</w:t>
      </w:r>
      <w:r>
        <w:t xml:space="preserve"> </w:t>
      </w:r>
      <w:r>
        <w:t xml:space="preserve">- </w:t>
      </w:r>
      <w:r>
        <w:rPr>
          <w:rFonts w:hint="eastAsia"/>
        </w:rPr>
        <w:t xml:space="preserve">中国跟进中</w:t>
      </w:r>
      <w:r>
        <w:t xml:space="preserve"> </w:t>
      </w:r>
      <w:r>
        <w:t xml:space="preserve">- </w:t>
      </w:r>
      <w:r>
        <w:rPr>
          <w:rFonts w:hint="eastAsia"/>
        </w:rPr>
        <w:t xml:space="preserve">业界仍在使用</w:t>
      </w:r>
    </w:p>
    <w:bookmarkEnd w:id="19"/>
    <w:bookmarkStart w:id="20" w:name="lithera-解决方案"/>
    <w:p>
      <w:pPr>
        <w:pStyle w:val="Heading3"/>
      </w:pPr>
      <w:r>
        <w:t xml:space="preserve">7.2 Lithera </w:t>
      </w:r>
      <w:r>
        <w:rPr>
          <w:rFonts w:hint="eastAsia"/>
        </w:rPr>
        <w:t xml:space="preserve">解决方案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重庆合佳</w:t>
      </w:r>
      <w:r>
        <w:rPr>
          <w:b/>
          <w:bCs/>
        </w:rPr>
        <w:t xml:space="preserve"> DMPA</w:t>
      </w:r>
      <w:r>
        <w:rPr>
          <w:rFonts w:hint="eastAsia"/>
        </w:rPr>
        <w:t xml:space="preserve">（A</w:t>
      </w:r>
      <w:r>
        <w:t xml:space="preserve"> </w:t>
      </w:r>
      <w:r>
        <w:rPr>
          <w:rFonts w:hint="eastAsia"/>
        </w:rPr>
        <w:t xml:space="preserve">级战略供应商）</w:t>
      </w:r>
    </w:p>
    <w:p>
      <w:pPr>
        <w:pStyle w:val="Compact"/>
        <w:numPr>
          <w:ilvl w:val="0"/>
          <w:numId w:val="1002"/>
        </w:numPr>
      </w:pPr>
      <w:r>
        <w:t xml:space="preserve">DMPA </w:t>
      </w:r>
      <w:r>
        <w:rPr>
          <w:rFonts w:hint="eastAsia"/>
        </w:rPr>
        <w:t xml:space="preserve">毒性显著低，未列管</w:t>
      </w:r>
    </w:p>
    <w:p>
      <w:pPr>
        <w:pStyle w:val="Compact"/>
        <w:numPr>
          <w:ilvl w:val="0"/>
          <w:numId w:val="1002"/>
        </w:numPr>
      </w:pPr>
      <w:r>
        <w:t xml:space="preserve">Lithera </w:t>
      </w:r>
      <w:r>
        <w:rPr>
          <w:rFonts w:hint="eastAsia"/>
        </w:rPr>
        <w:t xml:space="preserve">配方已通过测试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法规一禁，Lithera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立即跳升为主流供应商</w:t>
      </w:r>
    </w:p>
    <w:bookmarkEnd w:id="20"/>
    <w:bookmarkStart w:id="21" w:name="法规前瞻流程"/>
    <w:p>
      <w:pPr>
        <w:pStyle w:val="Heading3"/>
      </w:pPr>
      <w:r>
        <w:t xml:space="preserve">7.3 </w:t>
      </w:r>
      <w:r>
        <w:rPr>
          <w:rFonts w:hint="eastAsia"/>
        </w:rPr>
        <w:t xml:space="preserve">法规前瞻流程</w:t>
      </w:r>
    </w:p>
    <w:p>
      <w:pPr>
        <w:pStyle w:val="SourceCode"/>
      </w:pPr>
      <w:r>
        <w:rPr>
          <w:rStyle w:val="VerbatimChar"/>
        </w:rPr>
        <w:t xml:space="preserve">[AI Compliance Advisor </w:t>
      </w:r>
      <w:r>
        <w:rPr>
          <w:rStyle w:val="VerbatimChar"/>
          <w:rFonts w:hint="eastAsia"/>
        </w:rPr>
        <w:t xml:space="preserve">月度扫描全球法规]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[识别可能影响业务之法规变化]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[评估替代方案]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[与</w:t>
      </w:r>
      <w:r>
        <w:rPr>
          <w:rStyle w:val="VerbatimChar"/>
        </w:rPr>
        <w:t xml:space="preserve"> A </w:t>
      </w:r>
      <w:r>
        <w:rPr>
          <w:rStyle w:val="VerbatimChar"/>
          <w:rFonts w:hint="eastAsia"/>
        </w:rPr>
        <w:t xml:space="preserve">级供应商共同开发替代品]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[内部测试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客户试用]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[法规生效前</w:t>
      </w:r>
      <w:r>
        <w:rPr>
          <w:rStyle w:val="VerbatimChar"/>
        </w:rPr>
        <w:t xml:space="preserve"> Lithera </w:t>
      </w:r>
      <w:r>
        <w:rPr>
          <w:rStyle w:val="VerbatimChar"/>
          <w:rFonts w:hint="eastAsia"/>
        </w:rPr>
        <w:t xml:space="preserve">已是主流]</w:t>
      </w:r>
    </w:p>
    <w:bookmarkEnd w:id="21"/>
    <w:bookmarkStart w:id="22" w:name="第-5-条方法论专利实证"/>
    <w:p>
      <w:pPr>
        <w:pStyle w:val="Heading3"/>
      </w:pPr>
      <w:r>
        <w:t xml:space="preserve">7.4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条方法论专利实证</w:t>
      </w:r>
    </w:p>
    <w:p>
      <w:pPr>
        <w:pStyle w:val="FirstParagraph"/>
      </w:pPr>
      <w:r>
        <w:t xml:space="preserve">DMPA </w:t>
      </w:r>
      <w:r>
        <w:rPr>
          <w:rFonts w:hint="eastAsia"/>
        </w:rPr>
        <w:t xml:space="preserve">替代</w:t>
      </w:r>
      <w:r>
        <w:t xml:space="preserve"> NMP </w:t>
      </w:r>
      <w:r>
        <w:rPr>
          <w:rFonts w:hint="eastAsia"/>
        </w:rPr>
        <w:t xml:space="preserve">案例可作为</w:t>
      </w:r>
      <w:r>
        <w:t xml:space="preserve"> Empryon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条方法论专利「</w:t>
      </w:r>
      <w:r>
        <w:rPr>
          <w:rFonts w:hint="eastAsia"/>
          <w:b/>
          <w:bCs/>
        </w:rPr>
        <w:t xml:space="preserve">法规嵌入式执行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锚点强化</w:t>
      </w:r>
      <w:r>
        <w:rPr>
          <w:rFonts w:hint="eastAsia"/>
        </w:rPr>
        <w:t xml:space="preserve">」之实证。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绿色文件管理"/>
    <w:p>
      <w:pPr>
        <w:pStyle w:val="Heading2"/>
      </w:pPr>
      <w:r>
        <w:t xml:space="preserve">8. </w:t>
      </w:r>
      <w:r>
        <w:rPr>
          <w:rFonts w:hint="eastAsia"/>
        </w:rPr>
        <w:t xml:space="preserve">绿色文件管理</w:t>
      </w:r>
    </w:p>
    <w:p>
      <w:pPr>
        <w:pStyle w:val="FirstParagraph"/>
      </w:pPr>
      <w:r>
        <w:rPr>
          <w:rFonts w:hint="eastAsia"/>
        </w:rPr>
        <w:t xml:space="preserve">每化学品提供：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RoHS </w:t>
      </w:r>
      <w:r>
        <w:rPr>
          <w:rFonts w:hint="eastAsia"/>
          <w:b/>
          <w:bCs/>
        </w:rPr>
        <w:t xml:space="preserve">符合声明</w:t>
      </w:r>
      <w:r>
        <w:rPr>
          <w:rFonts w:hint="eastAsia"/>
        </w:rPr>
        <w:t xml:space="preserve">（供应商出具）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REACH </w:t>
      </w:r>
      <w:r>
        <w:rPr>
          <w:rFonts w:hint="eastAsia"/>
          <w:b/>
          <w:bCs/>
        </w:rPr>
        <w:t xml:space="preserve">注册号</w:t>
      </w:r>
      <w:r>
        <w:rPr>
          <w:b/>
          <w:bCs/>
        </w:rPr>
        <w:t xml:space="preserve"> + SVHC </w:t>
      </w:r>
      <w:r>
        <w:rPr>
          <w:rFonts w:hint="eastAsia"/>
          <w:b/>
          <w:bCs/>
        </w:rPr>
        <w:t xml:space="preserve">不含声明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MSDS（GHS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合规版）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第三方测试报告</w:t>
      </w:r>
      <w:r>
        <w:rPr>
          <w:rFonts w:hint="eastAsia"/>
        </w:rPr>
        <w:t xml:space="preserve">（必要时）</w:t>
      </w:r>
    </w:p>
    <w:p>
      <w:pPr>
        <w:pStyle w:val="BodyText"/>
      </w:pPr>
      <w:r>
        <w:rPr>
          <w:rFonts w:hint="eastAsia"/>
        </w:rPr>
        <w:t xml:space="preserve">文件随货附送</w:t>
      </w:r>
      <w:r>
        <w:t xml:space="preserve"> + Lithera </w:t>
      </w:r>
      <w:r>
        <w:rPr>
          <w:rFonts w:hint="eastAsia"/>
        </w:rPr>
        <w:t xml:space="preserve">平台留档。</w:t>
      </w:r>
    </w:p>
    <w:p>
      <w:r>
        <w:pict>
          <v:rect style="width:0;height:1.5pt" o:hralign="center" o:hrstd="t" o:hr="t"/>
        </w:pict>
      </w:r>
    </w:p>
    <w:bookmarkEnd w:id="24"/>
    <w:bookmarkStart w:id="25" w:name="客户绿色教育"/>
    <w:p>
      <w:pPr>
        <w:pStyle w:val="Heading2"/>
      </w:pPr>
      <w:r>
        <w:t xml:space="preserve">9. </w:t>
      </w:r>
      <w:r>
        <w:rPr>
          <w:rFonts w:hint="eastAsia"/>
        </w:rPr>
        <w:t xml:space="preserve">客户绿色教育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SOP-10 </w:t>
      </w:r>
      <w:r>
        <w:rPr>
          <w:rFonts w:hint="eastAsia"/>
        </w:rPr>
        <w:t xml:space="preserve">派员：</w:t>
      </w:r>
      <w:r>
        <w:t xml:space="preserve"> </w:t>
      </w:r>
      <w:r>
        <w:t xml:space="preserve">- </w:t>
      </w:r>
      <w:r>
        <w:rPr>
          <w:rFonts w:hint="eastAsia"/>
        </w:rPr>
        <w:t xml:space="preserve">派员现场宣导绿色使用（如废液回收）</w:t>
      </w:r>
      <w:r>
        <w:t xml:space="preserve"> </w:t>
      </w:r>
      <w:r>
        <w:t xml:space="preserve">- </w:t>
      </w:r>
      <w:r>
        <w:rPr>
          <w:rFonts w:hint="eastAsia"/>
        </w:rPr>
        <w:t xml:space="preserve">协助客户应对其下游绿色要求</w:t>
      </w:r>
      <w:r>
        <w:t xml:space="preserve"> </w:t>
      </w:r>
      <w:r>
        <w:t xml:space="preserve">- </w:t>
      </w:r>
      <w:r>
        <w:rPr>
          <w:rFonts w:hint="eastAsia"/>
        </w:rPr>
        <w:t xml:space="preserve">提供</w:t>
      </w:r>
      <w:r>
        <w:t xml:space="preserve"> RoHS / REACH </w:t>
      </w:r>
      <w:r>
        <w:rPr>
          <w:rFonts w:hint="eastAsia"/>
        </w:rPr>
        <w:t xml:space="preserve">文件支持</w:t>
      </w:r>
    </w:p>
    <w:p>
      <w:r>
        <w:pict>
          <v:rect style="width:0;height:1.5pt" o:hralign="center" o:hrstd="t" o:hr="t"/>
        </w:pict>
      </w:r>
    </w:p>
    <w:bookmarkEnd w:id="25"/>
    <w:bookmarkStart w:id="26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RoHS / REACH </w:t>
            </w:r>
            <w:r>
              <w:rPr>
                <w:rFonts w:hint="eastAsia"/>
              </w:rPr>
              <w:t xml:space="preserve">合规率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客户绿色采购满足率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法规前瞻替代品准备率</w:t>
            </w:r>
          </w:p>
        </w:tc>
        <w:tc>
          <w:tcPr/>
          <w:p>
            <w:pPr>
              <w:pStyle w:val="Compact"/>
            </w:pPr>
            <w:r>
              <w:t xml:space="preserve">≥ </w:t>
            </w:r>
            <w:r>
              <w:rPr>
                <w:rFonts w:hint="eastAsia"/>
              </w:rPr>
              <w:t xml:space="preserve">80%（已知风险）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绿色客诉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供应商绿色评估完成率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欧盟</w:t>
      </w:r>
      <w:r>
        <w:t xml:space="preserve"> RoHS </w:t>
      </w:r>
      <w:r>
        <w:rPr>
          <w:rFonts w:hint="eastAsia"/>
        </w:rPr>
        <w:t xml:space="preserve">指令</w:t>
      </w:r>
      <w:r>
        <w:t xml:space="preserve"> 2011/65/EU + </w:t>
      </w:r>
      <w:r>
        <w:rPr>
          <w:rFonts w:hint="eastAsia"/>
        </w:rPr>
        <w:t xml:space="preserve">修订版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欧盟</w:t>
      </w:r>
      <w:r>
        <w:t xml:space="preserve"> REACH </w:t>
      </w:r>
      <w:r>
        <w:rPr>
          <w:rFonts w:hint="eastAsia"/>
        </w:rPr>
        <w:t xml:space="preserve">法规（EC）No</w:t>
      </w:r>
      <w:r>
        <w:t xml:space="preserve"> 1907/2006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美国</w:t>
      </w:r>
      <w:r>
        <w:t xml:space="preserve"> TSCA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日本</w:t>
      </w:r>
      <w:r>
        <w:t xml:space="preserve"> </w:t>
      </w:r>
      <w:r>
        <w:rPr>
          <w:rFonts w:hint="eastAsia"/>
        </w:rPr>
        <w:t xml:space="preserve">化审法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中国</w:t>
      </w:r>
      <w:r>
        <w:t xml:space="preserve"> GB/T 26572 </w:t>
      </w:r>
      <w:r>
        <w:rPr>
          <w:rFonts w:hint="eastAsia"/>
        </w:rPr>
        <w:t xml:space="preserve">电子电气产品有害物质限量</w:t>
      </w:r>
    </w:p>
    <w:p>
      <w:pPr>
        <w:pStyle w:val="Compact"/>
        <w:numPr>
          <w:ilvl w:val="0"/>
          <w:numId w:val="1003"/>
        </w:numPr>
      </w:pPr>
      <w:r>
        <w:t xml:space="preserve">ISO 9001:2015 §5.1</w:t>
      </w:r>
    </w:p>
    <w:p>
      <w:pPr>
        <w:pStyle w:val="Compact"/>
        <w:numPr>
          <w:ilvl w:val="0"/>
          <w:numId w:val="1003"/>
        </w:numPr>
      </w:pPr>
      <w:r>
        <w:t xml:space="preserve">ISO 14001:2015 §5.1</w:t>
      </w:r>
    </w:p>
    <w:p>
      <w:r>
        <w:pict>
          <v:rect style="width:0;height:1.5pt" o:hralign="center" o:hrstd="t" o:hr="t"/>
        </w:pict>
      </w:r>
    </w:p>
    <w:bookmarkEnd w:id="27"/>
    <w:bookmarkStart w:id="28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QEF-31-01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绿色规格清单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QEF-31-02</w:t>
            </w:r>
          </w:p>
        </w:tc>
        <w:tc>
          <w:tcPr/>
          <w:p>
            <w:pPr>
              <w:pStyle w:val="Compact"/>
            </w:pPr>
            <w:r>
              <w:t xml:space="preserve">RoHS / REACH </w:t>
            </w:r>
            <w:r>
              <w:rPr>
                <w:rFonts w:hint="eastAsia"/>
              </w:rPr>
              <w:t xml:space="preserve">声明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QEF-31-03</w:t>
            </w:r>
          </w:p>
        </w:tc>
        <w:tc>
          <w:tcPr/>
          <w:p>
            <w:pPr>
              <w:pStyle w:val="Compact"/>
            </w:pPr>
            <w:r>
              <w:t xml:space="preserve">SVHC </w:t>
            </w:r>
            <w:r>
              <w:rPr>
                <w:rFonts w:hint="eastAsia"/>
              </w:rPr>
              <w:t xml:space="preserve">不含声明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QEF-31-04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客户绿色采购对照表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QEF-31-05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替代品开发记录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§5.2 </w:t>
            </w:r>
            <w:r>
              <w:rPr>
                <w:rFonts w:hint="eastAsia"/>
              </w:rPr>
              <w:t xml:space="preserve">品质方针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绿色承诺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绿色评估纳入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</w:t>
            </w:r>
          </w:p>
        </w:tc>
        <w:tc>
          <w:tcPr/>
          <w:p>
            <w:pPr>
              <w:pStyle w:val="Compact"/>
            </w:pPr>
            <w:r>
              <w:t xml:space="preserve">RoHS / REACH </w:t>
            </w:r>
            <w:r>
              <w:rPr>
                <w:rFonts w:hint="eastAsia"/>
              </w:rPr>
              <w:t xml:space="preserve">抽测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客户绿色要求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SOP-21 </w:t>
            </w:r>
            <w:r>
              <w:rPr>
                <w:rFonts w:hint="eastAsia"/>
              </w:rPr>
              <w:t xml:space="preserve">法令规章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法规前瞻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SOP-23 </w:t>
            </w: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产品端环境影响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  <w:r>
              <w:t xml:space="preserve"> + RoHS / REACH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法规前瞻分析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客户绿色采购实务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LITHERA-SOP-31-V2-20260429 · v2 · </w:t>
      </w:r>
      <w:r>
        <w:rPr>
          <w:rFonts w:hint="eastAsia"/>
        </w:rPr>
        <w:t xml:space="preserve">共</w:t>
      </w:r>
      <w:r>
        <w:t xml:space="preserve"> 6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2026-04-29T15:09:21Z</dcterms:created>
  <dcterms:modified xsi:type="dcterms:W3CDTF">2026-04-29T15:09:21Z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